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3AD" w:rsidRDefault="00B403AD" w:rsidP="0099146A">
      <w:pPr>
        <w:jc w:val="center"/>
        <w:rPr>
          <w:rFonts w:ascii="Verdana" w:hAnsi="Verdana"/>
          <w:b/>
          <w:sz w:val="22"/>
          <w:szCs w:val="20"/>
          <w:u w:val="single"/>
        </w:rPr>
      </w:pPr>
    </w:p>
    <w:p w:rsidR="0099146A" w:rsidRPr="006B4054" w:rsidRDefault="00B403AD" w:rsidP="0099146A">
      <w:pPr>
        <w:jc w:val="center"/>
        <w:rPr>
          <w:rFonts w:ascii="Verdana" w:hAnsi="Verdana"/>
          <w:b/>
          <w:sz w:val="22"/>
          <w:szCs w:val="20"/>
          <w:u w:val="single"/>
        </w:rPr>
      </w:pPr>
      <w:r>
        <w:rPr>
          <w:rFonts w:ascii="Verdana" w:hAnsi="Verdana"/>
          <w:b/>
          <w:sz w:val="28"/>
          <w:szCs w:val="20"/>
          <w:u w:val="single"/>
        </w:rPr>
        <w:t>Note on Eligibility of Un-R</w:t>
      </w:r>
      <w:r w:rsidR="0099146A" w:rsidRPr="00B403AD">
        <w:rPr>
          <w:rFonts w:ascii="Verdana" w:hAnsi="Verdana"/>
          <w:b/>
          <w:sz w:val="28"/>
          <w:szCs w:val="20"/>
          <w:u w:val="single"/>
        </w:rPr>
        <w:t>econciled ITC</w:t>
      </w:r>
    </w:p>
    <w:p w:rsidR="0099146A" w:rsidRDefault="0099146A" w:rsidP="0099146A">
      <w:pPr>
        <w:rPr>
          <w:rFonts w:ascii="Verdana" w:hAnsi="Verdana"/>
          <w:sz w:val="22"/>
          <w:szCs w:val="20"/>
        </w:rPr>
      </w:pPr>
    </w:p>
    <w:p w:rsidR="00B403AD" w:rsidRPr="006B4054" w:rsidRDefault="00B403AD" w:rsidP="0099146A">
      <w:pPr>
        <w:rPr>
          <w:rFonts w:ascii="Verdana" w:hAnsi="Verdana"/>
          <w:sz w:val="22"/>
          <w:szCs w:val="20"/>
        </w:rPr>
      </w:pPr>
    </w:p>
    <w:p w:rsidR="0099146A" w:rsidRPr="006B4054" w:rsidRDefault="0099146A" w:rsidP="00B403AD">
      <w:pPr>
        <w:spacing w:after="0" w:line="360" w:lineRule="auto"/>
        <w:rPr>
          <w:rFonts w:ascii="Verdana" w:hAnsi="Verdana"/>
          <w:sz w:val="22"/>
          <w:szCs w:val="20"/>
        </w:rPr>
      </w:pPr>
      <w:r w:rsidRPr="006B4054">
        <w:rPr>
          <w:rFonts w:ascii="Verdana" w:hAnsi="Verdana"/>
          <w:sz w:val="22"/>
          <w:szCs w:val="20"/>
        </w:rPr>
        <w:t xml:space="preserve">The Government vide </w:t>
      </w:r>
      <w:r w:rsidR="00B403AD">
        <w:rPr>
          <w:rFonts w:ascii="Verdana" w:hAnsi="Verdana"/>
          <w:sz w:val="22"/>
          <w:szCs w:val="20"/>
        </w:rPr>
        <w:t xml:space="preserve">Notification No. 49/2019-Central Tax Dt. </w:t>
      </w:r>
      <w:r w:rsidR="003755FF">
        <w:rPr>
          <w:rFonts w:ascii="Verdana" w:hAnsi="Verdana"/>
          <w:sz w:val="22"/>
          <w:szCs w:val="20"/>
        </w:rPr>
        <w:t>09.</w:t>
      </w:r>
      <w:r w:rsidR="003755FF" w:rsidRPr="006B4054">
        <w:rPr>
          <w:rFonts w:ascii="Verdana" w:hAnsi="Verdana"/>
          <w:sz w:val="22"/>
          <w:szCs w:val="20"/>
        </w:rPr>
        <w:t>10.2019</w:t>
      </w:r>
      <w:r w:rsidR="003755FF">
        <w:rPr>
          <w:rFonts w:ascii="Verdana" w:hAnsi="Verdana"/>
          <w:sz w:val="22"/>
          <w:szCs w:val="20"/>
        </w:rPr>
        <w:t>,</w:t>
      </w:r>
      <w:r w:rsidRPr="006B4054">
        <w:rPr>
          <w:rFonts w:ascii="Verdana" w:hAnsi="Verdana"/>
          <w:sz w:val="22"/>
          <w:szCs w:val="20"/>
        </w:rPr>
        <w:t xml:space="preserve"> ha</w:t>
      </w:r>
      <w:r w:rsidR="006B4054">
        <w:rPr>
          <w:rFonts w:ascii="Verdana" w:hAnsi="Verdana"/>
          <w:sz w:val="22"/>
          <w:szCs w:val="20"/>
        </w:rPr>
        <w:t>ve</w:t>
      </w:r>
      <w:r w:rsidRPr="006B4054">
        <w:rPr>
          <w:rFonts w:ascii="Verdana" w:hAnsi="Verdana"/>
          <w:sz w:val="22"/>
          <w:szCs w:val="20"/>
        </w:rPr>
        <w:t xml:space="preserve"> introduced the following sub-rule (4) under Rule 36 of CGST Rules, 2017.</w:t>
      </w:r>
    </w:p>
    <w:p w:rsidR="0099146A" w:rsidRPr="006B4054" w:rsidRDefault="0099146A" w:rsidP="00B403AD">
      <w:pPr>
        <w:spacing w:after="0" w:line="360" w:lineRule="auto"/>
        <w:rPr>
          <w:rFonts w:ascii="Verdana" w:hAnsi="Verdana"/>
          <w:sz w:val="22"/>
          <w:szCs w:val="20"/>
        </w:rPr>
      </w:pPr>
    </w:p>
    <w:p w:rsidR="0099146A" w:rsidRPr="006B4054" w:rsidRDefault="0099146A" w:rsidP="00B403AD">
      <w:pPr>
        <w:spacing w:after="0" w:line="276" w:lineRule="auto"/>
        <w:ind w:left="720"/>
        <w:rPr>
          <w:rFonts w:ascii="Verdana" w:hAnsi="Verdana"/>
          <w:i/>
          <w:sz w:val="22"/>
          <w:szCs w:val="20"/>
        </w:rPr>
      </w:pPr>
      <w:r w:rsidRPr="006B4054">
        <w:rPr>
          <w:rFonts w:ascii="Verdana" w:hAnsi="Verdana"/>
          <w:i/>
          <w:sz w:val="22"/>
          <w:szCs w:val="20"/>
        </w:rPr>
        <w:t>“Input tax credit to be availed by a registered person in respect of invoices or debit notes, the details of which have not been uploaded by the suppliers under sub- section (1) of section 37, shall not exceed 20 per cent of the eligible credit available in respect of invoices or debit notes the details of which have been uploaded by the suppliers under sub-section (1) of section 37”</w:t>
      </w:r>
    </w:p>
    <w:p w:rsidR="0099146A" w:rsidRPr="006B4054" w:rsidRDefault="0099146A" w:rsidP="00B403AD">
      <w:pPr>
        <w:spacing w:after="0" w:line="360" w:lineRule="auto"/>
        <w:ind w:left="720"/>
        <w:rPr>
          <w:rFonts w:ascii="Verdana" w:hAnsi="Verdana"/>
          <w:i/>
          <w:sz w:val="22"/>
          <w:szCs w:val="20"/>
        </w:rPr>
      </w:pPr>
    </w:p>
    <w:p w:rsidR="008E2982" w:rsidRDefault="0099146A" w:rsidP="00B403AD">
      <w:pPr>
        <w:spacing w:after="0" w:line="360" w:lineRule="auto"/>
        <w:rPr>
          <w:rFonts w:ascii="Verdana" w:hAnsi="Verdana"/>
          <w:sz w:val="22"/>
          <w:szCs w:val="20"/>
        </w:rPr>
      </w:pPr>
      <w:r w:rsidRPr="006B4054">
        <w:rPr>
          <w:rFonts w:ascii="Verdana" w:hAnsi="Verdana"/>
          <w:sz w:val="22"/>
          <w:szCs w:val="20"/>
        </w:rPr>
        <w:t xml:space="preserve">Essence of the amendment is that in respect of the inward supplies where invoices have been received but the suppliers have not filed GSTR-1 or have not uploaded such invoices in the GSTR-1, the recipient is not entitled to avail the entire credits. The recipient can avail only maximum of 20% of the eligible credit which is reflecting in the GSTR-2A on the common portal in respect of invoices not uploaded by the supplier. </w:t>
      </w:r>
    </w:p>
    <w:p w:rsidR="008E2982" w:rsidRDefault="008E2982" w:rsidP="00B403AD">
      <w:pPr>
        <w:spacing w:after="0" w:line="360" w:lineRule="auto"/>
        <w:rPr>
          <w:rFonts w:ascii="Verdana" w:hAnsi="Verdana"/>
          <w:sz w:val="22"/>
          <w:szCs w:val="20"/>
        </w:rPr>
      </w:pPr>
    </w:p>
    <w:p w:rsidR="0099146A" w:rsidRPr="006B4054" w:rsidRDefault="0099146A" w:rsidP="00B403AD">
      <w:pPr>
        <w:spacing w:after="0" w:line="360" w:lineRule="auto"/>
        <w:rPr>
          <w:rFonts w:ascii="Verdana" w:hAnsi="Verdana"/>
          <w:b/>
          <w:sz w:val="22"/>
          <w:szCs w:val="20"/>
        </w:rPr>
      </w:pPr>
      <w:r w:rsidRPr="006B4054">
        <w:rPr>
          <w:rFonts w:ascii="Verdana" w:hAnsi="Verdana"/>
          <w:sz w:val="22"/>
          <w:szCs w:val="20"/>
        </w:rPr>
        <w:t>For example:</w:t>
      </w:r>
    </w:p>
    <w:p w:rsidR="0099146A" w:rsidRPr="006B4054" w:rsidRDefault="0099146A" w:rsidP="00B403AD">
      <w:pPr>
        <w:spacing w:after="0" w:line="360" w:lineRule="auto"/>
        <w:rPr>
          <w:rFonts w:ascii="Verdana" w:hAnsi="Verdana"/>
          <w:sz w:val="22"/>
          <w:szCs w:val="20"/>
        </w:rPr>
      </w:pPr>
      <w:r w:rsidRPr="006B4054">
        <w:rPr>
          <w:rFonts w:ascii="Verdana" w:hAnsi="Verdana"/>
          <w:sz w:val="22"/>
          <w:szCs w:val="20"/>
        </w:rPr>
        <w:t>Let us assume that a recipient has invoices involving a total ITC of Rs. 20</w:t>
      </w:r>
      <w:r w:rsidR="00B403AD">
        <w:rPr>
          <w:rFonts w:ascii="Verdana" w:hAnsi="Verdana"/>
          <w:sz w:val="22"/>
          <w:szCs w:val="20"/>
        </w:rPr>
        <w:t xml:space="preserve"> lakhs against the inward supplies</w:t>
      </w:r>
      <w:r w:rsidRPr="006B4054">
        <w:rPr>
          <w:rFonts w:ascii="Verdana" w:hAnsi="Verdana"/>
          <w:sz w:val="22"/>
          <w:szCs w:val="20"/>
        </w:rPr>
        <w:t xml:space="preserve"> invoices during the month. The details of the transactions are tabulated below:</w:t>
      </w:r>
    </w:p>
    <w:p w:rsidR="0099146A" w:rsidRPr="006B4054" w:rsidRDefault="0099146A" w:rsidP="00B403AD">
      <w:pPr>
        <w:spacing w:after="0"/>
        <w:rPr>
          <w:rFonts w:ascii="Verdana" w:hAnsi="Verdana"/>
          <w:sz w:val="22"/>
          <w:szCs w:val="20"/>
        </w:rPr>
      </w:pPr>
    </w:p>
    <w:tbl>
      <w:tblPr>
        <w:tblStyle w:val="TableGrid"/>
        <w:tblW w:w="10350" w:type="dxa"/>
        <w:tblInd w:w="-612" w:type="dxa"/>
        <w:tblLook w:val="04A0"/>
      </w:tblPr>
      <w:tblGrid>
        <w:gridCol w:w="1530"/>
        <w:gridCol w:w="1530"/>
        <w:gridCol w:w="2430"/>
        <w:gridCol w:w="1848"/>
        <w:gridCol w:w="1482"/>
        <w:gridCol w:w="1530"/>
      </w:tblGrid>
      <w:tr w:rsidR="0099146A" w:rsidRPr="006B4054" w:rsidTr="001D12DD">
        <w:trPr>
          <w:trHeight w:val="2863"/>
        </w:trPr>
        <w:tc>
          <w:tcPr>
            <w:tcW w:w="1530" w:type="dxa"/>
          </w:tcPr>
          <w:p w:rsidR="0099146A" w:rsidRPr="006B4054" w:rsidRDefault="0099146A" w:rsidP="001D12DD">
            <w:pPr>
              <w:rPr>
                <w:rFonts w:ascii="Verdana" w:hAnsi="Verdana"/>
                <w:b/>
                <w:szCs w:val="20"/>
              </w:rPr>
            </w:pPr>
            <w:r w:rsidRPr="006B4054">
              <w:rPr>
                <w:rFonts w:ascii="Verdana" w:hAnsi="Verdana"/>
                <w:b/>
                <w:szCs w:val="20"/>
              </w:rPr>
              <w:lastRenderedPageBreak/>
              <w:t>Total credit available based on the inward supply invoices available</w:t>
            </w:r>
          </w:p>
        </w:tc>
        <w:tc>
          <w:tcPr>
            <w:tcW w:w="1530" w:type="dxa"/>
          </w:tcPr>
          <w:p w:rsidR="001D12DD" w:rsidRDefault="0099146A" w:rsidP="001D12DD">
            <w:pPr>
              <w:spacing w:line="240" w:lineRule="auto"/>
              <w:rPr>
                <w:rFonts w:ascii="Verdana" w:hAnsi="Verdana"/>
                <w:b/>
                <w:szCs w:val="20"/>
              </w:rPr>
            </w:pPr>
            <w:r w:rsidRPr="006B4054">
              <w:rPr>
                <w:rFonts w:ascii="Verdana" w:hAnsi="Verdana"/>
                <w:b/>
                <w:szCs w:val="20"/>
              </w:rPr>
              <w:t xml:space="preserve">Credit </w:t>
            </w:r>
          </w:p>
          <w:p w:rsidR="001D12DD" w:rsidRDefault="001D12DD" w:rsidP="001D12DD">
            <w:pPr>
              <w:spacing w:line="240" w:lineRule="auto"/>
              <w:rPr>
                <w:rFonts w:ascii="Verdana" w:hAnsi="Verdana"/>
                <w:b/>
                <w:szCs w:val="20"/>
              </w:rPr>
            </w:pPr>
            <w:r>
              <w:rPr>
                <w:rFonts w:ascii="Verdana" w:hAnsi="Verdana"/>
                <w:b/>
                <w:szCs w:val="20"/>
              </w:rPr>
              <w:t xml:space="preserve">Auto </w:t>
            </w:r>
            <w:r w:rsidR="0099146A" w:rsidRPr="006B4054">
              <w:rPr>
                <w:rFonts w:ascii="Verdana" w:hAnsi="Verdana"/>
                <w:b/>
                <w:szCs w:val="20"/>
              </w:rPr>
              <w:t>populated</w:t>
            </w:r>
          </w:p>
          <w:p w:rsidR="001D12DD" w:rsidRDefault="0099146A" w:rsidP="001D12DD">
            <w:pPr>
              <w:spacing w:line="240" w:lineRule="auto"/>
              <w:rPr>
                <w:rFonts w:ascii="Verdana" w:hAnsi="Verdana"/>
                <w:b/>
                <w:szCs w:val="20"/>
              </w:rPr>
            </w:pPr>
            <w:r w:rsidRPr="006B4054">
              <w:rPr>
                <w:rFonts w:ascii="Verdana" w:hAnsi="Verdana"/>
                <w:b/>
                <w:szCs w:val="20"/>
              </w:rPr>
              <w:t xml:space="preserve"> in Form </w:t>
            </w:r>
          </w:p>
          <w:p w:rsidR="0099146A" w:rsidRPr="006B4054" w:rsidRDefault="0099146A" w:rsidP="001D12DD">
            <w:pPr>
              <w:spacing w:line="240" w:lineRule="auto"/>
              <w:rPr>
                <w:rFonts w:ascii="Verdana" w:hAnsi="Verdana"/>
                <w:b/>
                <w:szCs w:val="20"/>
              </w:rPr>
            </w:pPr>
            <w:r w:rsidRPr="006B4054">
              <w:rPr>
                <w:rFonts w:ascii="Verdana" w:hAnsi="Verdana"/>
                <w:b/>
                <w:szCs w:val="20"/>
              </w:rPr>
              <w:t>GSTR 2A</w:t>
            </w:r>
          </w:p>
        </w:tc>
        <w:tc>
          <w:tcPr>
            <w:tcW w:w="2430" w:type="dxa"/>
          </w:tcPr>
          <w:p w:rsidR="0099146A" w:rsidRPr="006B4054" w:rsidRDefault="0099146A" w:rsidP="001D12DD">
            <w:pPr>
              <w:rPr>
                <w:rFonts w:ascii="Verdana" w:hAnsi="Verdana"/>
                <w:b/>
                <w:szCs w:val="20"/>
              </w:rPr>
            </w:pPr>
            <w:r w:rsidRPr="006B4054">
              <w:rPr>
                <w:rFonts w:ascii="Verdana" w:hAnsi="Verdana"/>
                <w:b/>
                <w:szCs w:val="20"/>
              </w:rPr>
              <w:t>Total eligible credit out of the auto populated invoice</w:t>
            </w:r>
            <w:r w:rsidR="001D12DD">
              <w:rPr>
                <w:rFonts w:ascii="Verdana" w:hAnsi="Verdana"/>
                <w:b/>
                <w:szCs w:val="20"/>
              </w:rPr>
              <w:t>s</w:t>
            </w:r>
          </w:p>
          <w:p w:rsidR="0099146A" w:rsidRPr="006B4054" w:rsidRDefault="001D12DD" w:rsidP="001D12DD">
            <w:pPr>
              <w:rPr>
                <w:rFonts w:ascii="Verdana" w:hAnsi="Verdana"/>
                <w:b/>
                <w:szCs w:val="20"/>
              </w:rPr>
            </w:pPr>
            <w:r>
              <w:rPr>
                <w:rFonts w:ascii="Verdana" w:hAnsi="Verdana"/>
                <w:b/>
                <w:szCs w:val="20"/>
              </w:rPr>
              <w:t xml:space="preserve">(after </w:t>
            </w:r>
            <w:r w:rsidR="0099146A" w:rsidRPr="006B4054">
              <w:rPr>
                <w:rFonts w:ascii="Verdana" w:hAnsi="Verdana"/>
                <w:b/>
                <w:szCs w:val="20"/>
              </w:rPr>
              <w:t>excluding ineligible credits, if any)</w:t>
            </w:r>
          </w:p>
        </w:tc>
        <w:tc>
          <w:tcPr>
            <w:tcW w:w="1848" w:type="dxa"/>
          </w:tcPr>
          <w:p w:rsidR="0099146A" w:rsidRPr="006B4054" w:rsidRDefault="0099146A" w:rsidP="001D12DD">
            <w:pPr>
              <w:rPr>
                <w:rFonts w:ascii="Verdana" w:hAnsi="Verdana"/>
                <w:b/>
                <w:szCs w:val="20"/>
              </w:rPr>
            </w:pPr>
            <w:r w:rsidRPr="006B4054">
              <w:rPr>
                <w:rFonts w:ascii="Verdana" w:hAnsi="Verdana"/>
                <w:b/>
                <w:szCs w:val="20"/>
              </w:rPr>
              <w:t>Total credit in respect of which invoice has not been uploaded</w:t>
            </w:r>
          </w:p>
          <w:p w:rsidR="0099146A" w:rsidRPr="006B4054" w:rsidRDefault="0099146A" w:rsidP="001D12DD">
            <w:pPr>
              <w:rPr>
                <w:rFonts w:ascii="Verdana" w:hAnsi="Verdana"/>
                <w:b/>
                <w:szCs w:val="20"/>
              </w:rPr>
            </w:pPr>
          </w:p>
        </w:tc>
        <w:tc>
          <w:tcPr>
            <w:tcW w:w="1482" w:type="dxa"/>
          </w:tcPr>
          <w:p w:rsidR="0099146A" w:rsidRPr="006B4054" w:rsidRDefault="0099146A" w:rsidP="001D12DD">
            <w:pPr>
              <w:rPr>
                <w:rFonts w:ascii="Verdana" w:hAnsi="Verdana"/>
                <w:b/>
                <w:szCs w:val="20"/>
              </w:rPr>
            </w:pPr>
            <w:r w:rsidRPr="006B4054">
              <w:rPr>
                <w:rFonts w:ascii="Verdana" w:hAnsi="Verdana"/>
                <w:b/>
                <w:szCs w:val="20"/>
              </w:rPr>
              <w:t>20% of the eligible credit available with respect of the non- uploaded invoice</w:t>
            </w:r>
            <w:r w:rsidR="007E344E" w:rsidRPr="006B4054">
              <w:rPr>
                <w:rFonts w:ascii="Verdana" w:hAnsi="Verdana"/>
                <w:b/>
                <w:szCs w:val="20"/>
              </w:rPr>
              <w:t xml:space="preserve"> *</w:t>
            </w:r>
          </w:p>
        </w:tc>
        <w:tc>
          <w:tcPr>
            <w:tcW w:w="1530" w:type="dxa"/>
          </w:tcPr>
          <w:p w:rsidR="0099146A" w:rsidRPr="006B4054" w:rsidRDefault="0099146A" w:rsidP="001D12DD">
            <w:pPr>
              <w:rPr>
                <w:rFonts w:ascii="Verdana" w:hAnsi="Verdana"/>
                <w:b/>
                <w:szCs w:val="20"/>
              </w:rPr>
            </w:pPr>
            <w:r w:rsidRPr="006B4054">
              <w:rPr>
                <w:rFonts w:ascii="Verdana" w:hAnsi="Verdana"/>
                <w:b/>
                <w:szCs w:val="20"/>
              </w:rPr>
              <w:t>Total credit entitled to the recipient</w:t>
            </w:r>
          </w:p>
          <w:p w:rsidR="0099146A" w:rsidRPr="006B4054" w:rsidRDefault="0099146A" w:rsidP="001D12DD">
            <w:pPr>
              <w:rPr>
                <w:rFonts w:ascii="Verdana" w:hAnsi="Verdana"/>
                <w:b/>
                <w:szCs w:val="20"/>
              </w:rPr>
            </w:pPr>
          </w:p>
          <w:p w:rsidR="0099146A" w:rsidRPr="006B4054" w:rsidRDefault="0099146A" w:rsidP="001D12DD">
            <w:pPr>
              <w:rPr>
                <w:rFonts w:ascii="Verdana" w:hAnsi="Verdana"/>
                <w:b/>
                <w:szCs w:val="20"/>
              </w:rPr>
            </w:pPr>
          </w:p>
          <w:p w:rsidR="0099146A" w:rsidRPr="006B4054" w:rsidRDefault="0099146A" w:rsidP="001D12DD">
            <w:pPr>
              <w:rPr>
                <w:rFonts w:ascii="Verdana" w:hAnsi="Verdana"/>
                <w:b/>
                <w:szCs w:val="20"/>
              </w:rPr>
            </w:pPr>
          </w:p>
          <w:p w:rsidR="0099146A" w:rsidRPr="006B4054" w:rsidRDefault="0099146A" w:rsidP="001D12DD">
            <w:pPr>
              <w:rPr>
                <w:rFonts w:ascii="Verdana" w:hAnsi="Verdana"/>
                <w:b/>
                <w:szCs w:val="20"/>
              </w:rPr>
            </w:pPr>
          </w:p>
        </w:tc>
      </w:tr>
      <w:tr w:rsidR="0099146A" w:rsidRPr="006B4054" w:rsidTr="001D12DD">
        <w:trPr>
          <w:trHeight w:val="780"/>
        </w:trPr>
        <w:tc>
          <w:tcPr>
            <w:tcW w:w="1530" w:type="dxa"/>
          </w:tcPr>
          <w:p w:rsidR="0099146A" w:rsidRPr="006B4054" w:rsidRDefault="0099146A" w:rsidP="001D12DD">
            <w:pPr>
              <w:spacing w:line="360" w:lineRule="auto"/>
              <w:jc w:val="center"/>
              <w:rPr>
                <w:rFonts w:ascii="Verdana" w:hAnsi="Verdana"/>
                <w:szCs w:val="20"/>
              </w:rPr>
            </w:pPr>
            <w:r w:rsidRPr="006B4054">
              <w:rPr>
                <w:rFonts w:ascii="Verdana" w:hAnsi="Verdana"/>
                <w:szCs w:val="20"/>
              </w:rPr>
              <w:t>(A)</w:t>
            </w:r>
          </w:p>
        </w:tc>
        <w:tc>
          <w:tcPr>
            <w:tcW w:w="1530" w:type="dxa"/>
          </w:tcPr>
          <w:p w:rsidR="0099146A" w:rsidRPr="006B4054" w:rsidRDefault="0099146A" w:rsidP="001D12DD">
            <w:pPr>
              <w:spacing w:line="360" w:lineRule="auto"/>
              <w:jc w:val="center"/>
              <w:rPr>
                <w:rFonts w:ascii="Verdana" w:hAnsi="Verdana"/>
                <w:szCs w:val="20"/>
              </w:rPr>
            </w:pPr>
            <w:r w:rsidRPr="006B4054">
              <w:rPr>
                <w:rFonts w:ascii="Verdana" w:hAnsi="Verdana"/>
                <w:szCs w:val="20"/>
              </w:rPr>
              <w:t>(B)</w:t>
            </w:r>
          </w:p>
        </w:tc>
        <w:tc>
          <w:tcPr>
            <w:tcW w:w="2430" w:type="dxa"/>
          </w:tcPr>
          <w:p w:rsidR="0099146A" w:rsidRPr="006B4054" w:rsidRDefault="0099146A" w:rsidP="001D12DD">
            <w:pPr>
              <w:spacing w:line="360" w:lineRule="auto"/>
              <w:jc w:val="center"/>
              <w:rPr>
                <w:rFonts w:ascii="Verdana" w:hAnsi="Verdana"/>
                <w:szCs w:val="20"/>
              </w:rPr>
            </w:pPr>
            <w:r w:rsidRPr="006B4054">
              <w:rPr>
                <w:rFonts w:ascii="Verdana" w:hAnsi="Verdana"/>
                <w:szCs w:val="20"/>
              </w:rPr>
              <w:t>(C)</w:t>
            </w:r>
          </w:p>
        </w:tc>
        <w:tc>
          <w:tcPr>
            <w:tcW w:w="1848" w:type="dxa"/>
          </w:tcPr>
          <w:p w:rsidR="0099146A" w:rsidRPr="006B4054" w:rsidRDefault="0099146A" w:rsidP="001D12DD">
            <w:pPr>
              <w:spacing w:line="360" w:lineRule="auto"/>
              <w:jc w:val="center"/>
              <w:rPr>
                <w:rFonts w:ascii="Verdana" w:hAnsi="Verdana"/>
                <w:szCs w:val="20"/>
              </w:rPr>
            </w:pPr>
            <w:r w:rsidRPr="006B4054">
              <w:rPr>
                <w:rFonts w:ascii="Verdana" w:hAnsi="Verdana"/>
                <w:szCs w:val="20"/>
              </w:rPr>
              <w:t>(D)= (A)-(B)</w:t>
            </w:r>
          </w:p>
        </w:tc>
        <w:tc>
          <w:tcPr>
            <w:tcW w:w="1482" w:type="dxa"/>
          </w:tcPr>
          <w:p w:rsidR="0099146A" w:rsidRPr="006B4054" w:rsidRDefault="0099146A" w:rsidP="001D12DD">
            <w:pPr>
              <w:spacing w:line="360" w:lineRule="auto"/>
              <w:jc w:val="center"/>
              <w:rPr>
                <w:rFonts w:ascii="Verdana" w:hAnsi="Verdana"/>
                <w:szCs w:val="20"/>
              </w:rPr>
            </w:pPr>
            <w:r w:rsidRPr="006B4054">
              <w:rPr>
                <w:rFonts w:ascii="Verdana" w:hAnsi="Verdana"/>
                <w:szCs w:val="20"/>
              </w:rPr>
              <w:t>(E)= 20% of (C)</w:t>
            </w:r>
          </w:p>
        </w:tc>
        <w:tc>
          <w:tcPr>
            <w:tcW w:w="1530" w:type="dxa"/>
          </w:tcPr>
          <w:p w:rsidR="0099146A" w:rsidRPr="006B4054" w:rsidRDefault="0099146A" w:rsidP="001D12DD">
            <w:pPr>
              <w:spacing w:line="360" w:lineRule="auto"/>
              <w:jc w:val="center"/>
              <w:rPr>
                <w:rFonts w:ascii="Verdana" w:hAnsi="Verdana"/>
                <w:szCs w:val="20"/>
              </w:rPr>
            </w:pPr>
            <w:r w:rsidRPr="006B4054">
              <w:rPr>
                <w:rFonts w:ascii="Verdana" w:hAnsi="Verdana"/>
                <w:szCs w:val="20"/>
              </w:rPr>
              <w:t>(F)= (C) + (E)</w:t>
            </w:r>
          </w:p>
        </w:tc>
      </w:tr>
      <w:tr w:rsidR="0099146A" w:rsidRPr="006B4054" w:rsidTr="001D12DD">
        <w:tc>
          <w:tcPr>
            <w:tcW w:w="1530" w:type="dxa"/>
          </w:tcPr>
          <w:p w:rsidR="0099146A" w:rsidRPr="006B4054" w:rsidRDefault="0099146A" w:rsidP="001D12DD">
            <w:pPr>
              <w:spacing w:after="0" w:line="276" w:lineRule="auto"/>
              <w:jc w:val="center"/>
              <w:rPr>
                <w:rFonts w:ascii="Verdana" w:hAnsi="Verdana"/>
                <w:szCs w:val="20"/>
              </w:rPr>
            </w:pPr>
            <w:r w:rsidRPr="006B4054">
              <w:rPr>
                <w:rFonts w:ascii="Verdana" w:hAnsi="Verdana"/>
                <w:szCs w:val="20"/>
              </w:rPr>
              <w:t>20L</w:t>
            </w:r>
          </w:p>
        </w:tc>
        <w:tc>
          <w:tcPr>
            <w:tcW w:w="1530" w:type="dxa"/>
          </w:tcPr>
          <w:p w:rsidR="0099146A" w:rsidRPr="006B4054" w:rsidRDefault="0099146A" w:rsidP="001D12DD">
            <w:pPr>
              <w:spacing w:after="0" w:line="276" w:lineRule="auto"/>
              <w:jc w:val="center"/>
              <w:rPr>
                <w:rFonts w:ascii="Verdana" w:hAnsi="Verdana"/>
                <w:szCs w:val="20"/>
              </w:rPr>
            </w:pPr>
            <w:r w:rsidRPr="006B4054">
              <w:rPr>
                <w:rFonts w:ascii="Verdana" w:hAnsi="Verdana"/>
                <w:szCs w:val="20"/>
              </w:rPr>
              <w:t>15L</w:t>
            </w:r>
          </w:p>
        </w:tc>
        <w:tc>
          <w:tcPr>
            <w:tcW w:w="2430" w:type="dxa"/>
          </w:tcPr>
          <w:p w:rsidR="0099146A" w:rsidRPr="006B4054" w:rsidRDefault="0099146A" w:rsidP="001D12DD">
            <w:pPr>
              <w:spacing w:after="0" w:line="276" w:lineRule="auto"/>
              <w:jc w:val="center"/>
              <w:rPr>
                <w:rFonts w:ascii="Verdana" w:hAnsi="Verdana"/>
                <w:szCs w:val="20"/>
              </w:rPr>
            </w:pPr>
            <w:r w:rsidRPr="006B4054">
              <w:rPr>
                <w:rFonts w:ascii="Verdana" w:hAnsi="Verdana"/>
                <w:szCs w:val="20"/>
              </w:rPr>
              <w:t>14L</w:t>
            </w:r>
          </w:p>
        </w:tc>
        <w:tc>
          <w:tcPr>
            <w:tcW w:w="1848" w:type="dxa"/>
          </w:tcPr>
          <w:p w:rsidR="0099146A" w:rsidRPr="006B4054" w:rsidRDefault="0099146A" w:rsidP="001D12DD">
            <w:pPr>
              <w:spacing w:after="0" w:line="276" w:lineRule="auto"/>
              <w:jc w:val="center"/>
              <w:rPr>
                <w:rFonts w:ascii="Verdana" w:hAnsi="Verdana"/>
                <w:szCs w:val="20"/>
              </w:rPr>
            </w:pPr>
            <w:r w:rsidRPr="006B4054">
              <w:rPr>
                <w:rFonts w:ascii="Verdana" w:hAnsi="Verdana"/>
                <w:szCs w:val="20"/>
              </w:rPr>
              <w:t>5L</w:t>
            </w:r>
          </w:p>
        </w:tc>
        <w:tc>
          <w:tcPr>
            <w:tcW w:w="1482" w:type="dxa"/>
          </w:tcPr>
          <w:p w:rsidR="0099146A" w:rsidRPr="006B4054" w:rsidRDefault="0099146A" w:rsidP="001D12DD">
            <w:pPr>
              <w:spacing w:after="0" w:line="276" w:lineRule="auto"/>
              <w:jc w:val="center"/>
              <w:rPr>
                <w:rFonts w:ascii="Verdana" w:hAnsi="Verdana"/>
                <w:szCs w:val="20"/>
              </w:rPr>
            </w:pPr>
            <w:r w:rsidRPr="006B4054">
              <w:rPr>
                <w:rFonts w:ascii="Verdana" w:hAnsi="Verdana"/>
                <w:szCs w:val="20"/>
              </w:rPr>
              <w:t>2.8L</w:t>
            </w:r>
          </w:p>
        </w:tc>
        <w:tc>
          <w:tcPr>
            <w:tcW w:w="1530" w:type="dxa"/>
          </w:tcPr>
          <w:p w:rsidR="008E2982" w:rsidRDefault="0099146A" w:rsidP="001D12DD">
            <w:pPr>
              <w:spacing w:after="0" w:line="276" w:lineRule="auto"/>
              <w:jc w:val="center"/>
              <w:rPr>
                <w:rFonts w:ascii="Verdana" w:hAnsi="Verdana"/>
                <w:szCs w:val="20"/>
              </w:rPr>
            </w:pPr>
            <w:r w:rsidRPr="006B4054">
              <w:rPr>
                <w:rFonts w:ascii="Verdana" w:hAnsi="Verdana"/>
                <w:szCs w:val="20"/>
              </w:rPr>
              <w:t>16.8L</w:t>
            </w:r>
          </w:p>
          <w:p w:rsidR="008E2982" w:rsidRPr="006B4054" w:rsidRDefault="008E2982" w:rsidP="001D12DD">
            <w:pPr>
              <w:spacing w:after="0" w:line="276" w:lineRule="auto"/>
              <w:jc w:val="center"/>
              <w:rPr>
                <w:rFonts w:ascii="Verdana" w:hAnsi="Verdana"/>
                <w:szCs w:val="20"/>
              </w:rPr>
            </w:pPr>
          </w:p>
        </w:tc>
      </w:tr>
      <w:tr w:rsidR="0099146A" w:rsidRPr="006B4054" w:rsidTr="001D12DD">
        <w:tc>
          <w:tcPr>
            <w:tcW w:w="1530" w:type="dxa"/>
          </w:tcPr>
          <w:p w:rsidR="0099146A" w:rsidRPr="006B4054" w:rsidRDefault="0099146A" w:rsidP="001D12DD">
            <w:pPr>
              <w:spacing w:after="0" w:line="276" w:lineRule="auto"/>
              <w:jc w:val="center"/>
              <w:rPr>
                <w:rFonts w:ascii="Verdana" w:hAnsi="Verdana"/>
                <w:szCs w:val="20"/>
              </w:rPr>
            </w:pPr>
            <w:r w:rsidRPr="006B4054">
              <w:rPr>
                <w:rFonts w:ascii="Verdana" w:hAnsi="Verdana"/>
                <w:szCs w:val="20"/>
              </w:rPr>
              <w:t>20L</w:t>
            </w:r>
          </w:p>
        </w:tc>
        <w:tc>
          <w:tcPr>
            <w:tcW w:w="1530" w:type="dxa"/>
          </w:tcPr>
          <w:p w:rsidR="0099146A" w:rsidRPr="006B4054" w:rsidRDefault="0099146A" w:rsidP="001D12DD">
            <w:pPr>
              <w:spacing w:after="0" w:line="276" w:lineRule="auto"/>
              <w:jc w:val="center"/>
              <w:rPr>
                <w:rFonts w:ascii="Verdana" w:hAnsi="Verdana"/>
                <w:szCs w:val="20"/>
              </w:rPr>
            </w:pPr>
            <w:r w:rsidRPr="006B4054">
              <w:rPr>
                <w:rFonts w:ascii="Verdana" w:hAnsi="Verdana"/>
                <w:szCs w:val="20"/>
              </w:rPr>
              <w:t>18L</w:t>
            </w:r>
          </w:p>
        </w:tc>
        <w:tc>
          <w:tcPr>
            <w:tcW w:w="2430" w:type="dxa"/>
          </w:tcPr>
          <w:p w:rsidR="0099146A" w:rsidRPr="006B4054" w:rsidRDefault="0099146A" w:rsidP="001D12DD">
            <w:pPr>
              <w:spacing w:after="0" w:line="276" w:lineRule="auto"/>
              <w:jc w:val="center"/>
              <w:rPr>
                <w:rFonts w:ascii="Verdana" w:hAnsi="Verdana"/>
                <w:szCs w:val="20"/>
              </w:rPr>
            </w:pPr>
            <w:r w:rsidRPr="006B4054">
              <w:rPr>
                <w:rFonts w:ascii="Verdana" w:hAnsi="Verdana"/>
                <w:szCs w:val="20"/>
              </w:rPr>
              <w:t>18L</w:t>
            </w:r>
          </w:p>
        </w:tc>
        <w:tc>
          <w:tcPr>
            <w:tcW w:w="1848" w:type="dxa"/>
          </w:tcPr>
          <w:p w:rsidR="0099146A" w:rsidRPr="006B4054" w:rsidRDefault="0099146A" w:rsidP="001D12DD">
            <w:pPr>
              <w:spacing w:after="0" w:line="276" w:lineRule="auto"/>
              <w:jc w:val="center"/>
              <w:rPr>
                <w:rFonts w:ascii="Verdana" w:hAnsi="Verdana"/>
                <w:szCs w:val="20"/>
              </w:rPr>
            </w:pPr>
            <w:r w:rsidRPr="006B4054">
              <w:rPr>
                <w:rFonts w:ascii="Verdana" w:hAnsi="Verdana"/>
                <w:szCs w:val="20"/>
              </w:rPr>
              <w:t>2L</w:t>
            </w:r>
          </w:p>
        </w:tc>
        <w:tc>
          <w:tcPr>
            <w:tcW w:w="1482" w:type="dxa"/>
          </w:tcPr>
          <w:p w:rsidR="0099146A" w:rsidRPr="006B4054" w:rsidRDefault="0099146A" w:rsidP="001D12DD">
            <w:pPr>
              <w:spacing w:after="0" w:line="276" w:lineRule="auto"/>
              <w:jc w:val="center"/>
              <w:rPr>
                <w:rFonts w:ascii="Verdana" w:hAnsi="Verdana"/>
                <w:szCs w:val="20"/>
              </w:rPr>
            </w:pPr>
            <w:r w:rsidRPr="006B4054">
              <w:rPr>
                <w:rFonts w:ascii="Verdana" w:hAnsi="Verdana"/>
                <w:szCs w:val="20"/>
              </w:rPr>
              <w:t>3.6L</w:t>
            </w:r>
          </w:p>
        </w:tc>
        <w:tc>
          <w:tcPr>
            <w:tcW w:w="1530" w:type="dxa"/>
          </w:tcPr>
          <w:p w:rsidR="0099146A" w:rsidRDefault="0099146A" w:rsidP="001D12DD">
            <w:pPr>
              <w:spacing w:after="0" w:line="276" w:lineRule="auto"/>
              <w:jc w:val="center"/>
              <w:rPr>
                <w:rFonts w:ascii="Verdana" w:hAnsi="Verdana"/>
                <w:szCs w:val="20"/>
              </w:rPr>
            </w:pPr>
            <w:r w:rsidRPr="006B4054">
              <w:rPr>
                <w:rFonts w:ascii="Verdana" w:hAnsi="Verdana"/>
                <w:szCs w:val="20"/>
              </w:rPr>
              <w:t>20L</w:t>
            </w:r>
          </w:p>
          <w:p w:rsidR="001D12DD" w:rsidRPr="006B4054" w:rsidRDefault="001D12DD" w:rsidP="001D12DD">
            <w:pPr>
              <w:spacing w:after="0" w:line="276" w:lineRule="auto"/>
              <w:jc w:val="center"/>
              <w:rPr>
                <w:rFonts w:ascii="Verdana" w:hAnsi="Verdana"/>
                <w:szCs w:val="20"/>
              </w:rPr>
            </w:pPr>
          </w:p>
        </w:tc>
      </w:tr>
    </w:tbl>
    <w:p w:rsidR="003755FF" w:rsidRDefault="003755FF" w:rsidP="001D12DD">
      <w:pPr>
        <w:spacing w:after="0"/>
        <w:rPr>
          <w:rFonts w:ascii="Verdana" w:hAnsi="Verdana"/>
          <w:i/>
          <w:sz w:val="18"/>
          <w:szCs w:val="20"/>
        </w:rPr>
      </w:pPr>
    </w:p>
    <w:p w:rsidR="0099146A" w:rsidRPr="008E2982" w:rsidRDefault="008E2982" w:rsidP="0099146A">
      <w:pPr>
        <w:rPr>
          <w:rFonts w:ascii="Verdana" w:hAnsi="Verdana"/>
          <w:i/>
          <w:sz w:val="18"/>
          <w:szCs w:val="20"/>
        </w:rPr>
      </w:pPr>
      <w:r w:rsidRPr="008E2982">
        <w:rPr>
          <w:rFonts w:ascii="Verdana" w:hAnsi="Verdana"/>
          <w:i/>
          <w:sz w:val="18"/>
          <w:szCs w:val="20"/>
        </w:rPr>
        <w:t>*</w:t>
      </w:r>
      <w:r w:rsidR="007E344E" w:rsidRPr="008E2982">
        <w:rPr>
          <w:rFonts w:ascii="Verdana" w:hAnsi="Verdana"/>
          <w:i/>
          <w:sz w:val="18"/>
          <w:szCs w:val="20"/>
        </w:rPr>
        <w:t>For the purpose of 20% calculation, the taxpayer need not take into account the tax paid under RCM.</w:t>
      </w:r>
    </w:p>
    <w:p w:rsidR="0099146A" w:rsidRPr="006B4054" w:rsidRDefault="0099146A" w:rsidP="0099146A">
      <w:pPr>
        <w:rPr>
          <w:rFonts w:ascii="Verdana" w:hAnsi="Verdana"/>
          <w:b/>
          <w:sz w:val="22"/>
          <w:szCs w:val="20"/>
        </w:rPr>
      </w:pPr>
    </w:p>
    <w:p w:rsidR="0099146A" w:rsidRPr="006B4054" w:rsidRDefault="0099146A" w:rsidP="0099146A">
      <w:pPr>
        <w:rPr>
          <w:rFonts w:ascii="Verdana" w:hAnsi="Verdana"/>
          <w:b/>
          <w:sz w:val="22"/>
          <w:szCs w:val="20"/>
        </w:rPr>
      </w:pPr>
    </w:p>
    <w:p w:rsidR="0099146A" w:rsidRPr="006B4054" w:rsidRDefault="0099146A" w:rsidP="003755FF">
      <w:pPr>
        <w:spacing w:after="0" w:line="360" w:lineRule="auto"/>
        <w:rPr>
          <w:rFonts w:ascii="Verdana" w:hAnsi="Verdana"/>
          <w:sz w:val="22"/>
          <w:szCs w:val="20"/>
        </w:rPr>
      </w:pPr>
      <w:r w:rsidRPr="006B4054">
        <w:rPr>
          <w:rFonts w:ascii="Verdana" w:hAnsi="Verdana"/>
          <w:sz w:val="22"/>
          <w:szCs w:val="20"/>
        </w:rPr>
        <w:t>The effective date of this rule is from 09.10.2019 as per the said notification. It is informed, that the newly inserted rule was non-existent during the tax period September 2019. Further, the credit is availed in the tax period for which the return is filed and not in the tax peri</w:t>
      </w:r>
      <w:r w:rsidR="007E344E" w:rsidRPr="006B4054">
        <w:rPr>
          <w:rFonts w:ascii="Verdana" w:hAnsi="Verdana"/>
          <w:sz w:val="22"/>
          <w:szCs w:val="20"/>
        </w:rPr>
        <w:t>od in which the return is filed i.e.</w:t>
      </w:r>
      <w:r w:rsidRPr="006B4054">
        <w:rPr>
          <w:rFonts w:ascii="Verdana" w:hAnsi="Verdana"/>
          <w:sz w:val="22"/>
          <w:szCs w:val="20"/>
        </w:rPr>
        <w:t xml:space="preserve"> the credit for the inward supplies made during the month of September is availed in GSTR3B filed on October 2019. </w:t>
      </w:r>
      <w:r w:rsidRPr="006B4054">
        <w:rPr>
          <w:rFonts w:ascii="Verdana" w:hAnsi="Verdana"/>
          <w:b/>
          <w:sz w:val="22"/>
          <w:szCs w:val="20"/>
        </w:rPr>
        <w:t xml:space="preserve">Therefore, </w:t>
      </w:r>
      <w:r w:rsidR="007E344E" w:rsidRPr="006B4054">
        <w:rPr>
          <w:rFonts w:ascii="Verdana" w:hAnsi="Verdana"/>
          <w:b/>
          <w:sz w:val="22"/>
          <w:szCs w:val="20"/>
        </w:rPr>
        <w:t xml:space="preserve">this rule is effective for the October GSTR 3B return filed in November 2019 onwards. </w:t>
      </w:r>
    </w:p>
    <w:p w:rsidR="0099146A" w:rsidRPr="006B4054" w:rsidRDefault="0099146A" w:rsidP="003755FF">
      <w:pPr>
        <w:spacing w:after="0" w:line="360" w:lineRule="auto"/>
        <w:rPr>
          <w:rFonts w:ascii="Verdana" w:hAnsi="Verdana"/>
          <w:b/>
          <w:sz w:val="22"/>
          <w:szCs w:val="20"/>
          <w:u w:val="single"/>
        </w:rPr>
      </w:pPr>
    </w:p>
    <w:p w:rsidR="0099146A" w:rsidRPr="006B4054" w:rsidRDefault="0099146A" w:rsidP="003755FF">
      <w:pPr>
        <w:pStyle w:val="ListParagraph"/>
        <w:spacing w:after="0" w:line="360" w:lineRule="auto"/>
        <w:ind w:left="10"/>
        <w:rPr>
          <w:rFonts w:ascii="Verdana" w:hAnsi="Verdana"/>
          <w:sz w:val="22"/>
          <w:szCs w:val="20"/>
        </w:rPr>
      </w:pPr>
      <w:r w:rsidRPr="006B4054">
        <w:rPr>
          <w:rFonts w:ascii="Verdana" w:hAnsi="Verdana"/>
          <w:sz w:val="22"/>
          <w:szCs w:val="20"/>
        </w:rPr>
        <w:t xml:space="preserve">Considering the above amendments, </w:t>
      </w:r>
      <w:r w:rsidR="00467584">
        <w:rPr>
          <w:rFonts w:ascii="Verdana" w:hAnsi="Verdana"/>
          <w:sz w:val="22"/>
          <w:szCs w:val="20"/>
        </w:rPr>
        <w:t>the taxpayers are advised</w:t>
      </w:r>
      <w:r w:rsidR="001D12DD">
        <w:rPr>
          <w:rFonts w:ascii="Verdana" w:hAnsi="Verdana"/>
          <w:sz w:val="22"/>
          <w:szCs w:val="20"/>
        </w:rPr>
        <w:t xml:space="preserve"> to</w:t>
      </w:r>
      <w:r w:rsidRPr="006B4054">
        <w:rPr>
          <w:rFonts w:ascii="Verdana" w:hAnsi="Verdana"/>
          <w:sz w:val="22"/>
          <w:szCs w:val="20"/>
        </w:rPr>
        <w:t xml:space="preserve"> follow up with the suppliers who have not filed their</w:t>
      </w:r>
      <w:r w:rsidR="003755FF">
        <w:rPr>
          <w:rFonts w:ascii="Verdana" w:hAnsi="Verdana"/>
          <w:sz w:val="22"/>
          <w:szCs w:val="20"/>
        </w:rPr>
        <w:t xml:space="preserve"> GSTR-1</w:t>
      </w:r>
      <w:r w:rsidRPr="006B4054">
        <w:rPr>
          <w:rFonts w:ascii="Verdana" w:hAnsi="Verdana"/>
          <w:sz w:val="22"/>
          <w:szCs w:val="20"/>
        </w:rPr>
        <w:t xml:space="preserve"> returns to file the same as early as possible.</w:t>
      </w:r>
      <w:bookmarkStart w:id="0" w:name="_GoBack"/>
      <w:bookmarkEnd w:id="0"/>
    </w:p>
    <w:p w:rsidR="0099146A" w:rsidRPr="006B4054" w:rsidRDefault="0099146A" w:rsidP="003755FF">
      <w:pPr>
        <w:pStyle w:val="ListParagraph"/>
        <w:spacing w:after="0"/>
        <w:ind w:left="360"/>
        <w:rPr>
          <w:rFonts w:ascii="Verdana" w:hAnsi="Verdana"/>
          <w:sz w:val="22"/>
          <w:szCs w:val="20"/>
        </w:rPr>
      </w:pPr>
    </w:p>
    <w:p w:rsidR="0099146A" w:rsidRPr="006B4054" w:rsidRDefault="0099146A" w:rsidP="0099146A">
      <w:pPr>
        <w:pStyle w:val="ListParagraph"/>
        <w:rPr>
          <w:rFonts w:ascii="Verdana" w:hAnsi="Verdana"/>
          <w:sz w:val="22"/>
          <w:szCs w:val="20"/>
        </w:rPr>
      </w:pPr>
      <w:r w:rsidRPr="006B4054">
        <w:rPr>
          <w:rFonts w:ascii="Verdana" w:hAnsi="Verdana"/>
          <w:sz w:val="22"/>
          <w:szCs w:val="20"/>
        </w:rPr>
        <w:t xml:space="preserve">                                           *****</w:t>
      </w:r>
    </w:p>
    <w:p w:rsidR="0099146A" w:rsidRPr="006B4054" w:rsidRDefault="0099146A" w:rsidP="0099146A">
      <w:pPr>
        <w:rPr>
          <w:rFonts w:ascii="Verdana" w:hAnsi="Verdana"/>
          <w:sz w:val="22"/>
          <w:szCs w:val="20"/>
        </w:rPr>
      </w:pPr>
    </w:p>
    <w:p w:rsidR="003E6BB0" w:rsidRPr="006B4054" w:rsidRDefault="003E6BB0">
      <w:pPr>
        <w:rPr>
          <w:rFonts w:ascii="Verdana" w:hAnsi="Verdana"/>
          <w:sz w:val="22"/>
          <w:szCs w:val="20"/>
        </w:rPr>
      </w:pPr>
    </w:p>
    <w:sectPr w:rsidR="003E6BB0" w:rsidRPr="006B4054" w:rsidSect="00A3463C">
      <w:headerReference w:type="even" r:id="rId7"/>
      <w:headerReference w:type="default" r:id="rId8"/>
      <w:footerReference w:type="even" r:id="rId9"/>
      <w:footerReference w:type="default" r:id="rId10"/>
      <w:headerReference w:type="first" r:id="rId11"/>
      <w:footerReference w:type="first" r:id="rId12"/>
      <w:pgSz w:w="11899" w:h="16841"/>
      <w:pgMar w:top="2680" w:right="1411" w:bottom="2100" w:left="1702" w:header="727" w:footer="782" w:gutter="0"/>
      <w:pgBorders w:offsetFrom="page">
        <w:top w:val="double" w:sz="6" w:space="24" w:color="auto"/>
        <w:left w:val="double" w:sz="6" w:space="24" w:color="auto"/>
        <w:bottom w:val="double" w:sz="6" w:space="24" w:color="auto"/>
        <w:right w:val="double" w:sz="6"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E3C" w:rsidRDefault="00137E3C" w:rsidP="003827E8">
      <w:pPr>
        <w:spacing w:after="0" w:line="240" w:lineRule="auto"/>
      </w:pPr>
      <w:r>
        <w:separator/>
      </w:r>
    </w:p>
  </w:endnote>
  <w:endnote w:type="continuationSeparator" w:id="1">
    <w:p w:rsidR="00137E3C" w:rsidRDefault="00137E3C" w:rsidP="003827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1F9" w:rsidRDefault="00137E3C">
    <w:pPr>
      <w:spacing w:after="42" w:line="259" w:lineRule="auto"/>
      <w:ind w:left="58" w:right="0" w:firstLine="0"/>
      <w:jc w:val="center"/>
    </w:pPr>
  </w:p>
  <w:p w:rsidR="002571F9" w:rsidRDefault="00F24317">
    <w:pPr>
      <w:spacing w:after="0" w:line="259" w:lineRule="auto"/>
      <w:ind w:left="0" w:right="7" w:firstLine="0"/>
      <w:jc w:val="center"/>
    </w:pPr>
    <w:r>
      <w:rPr>
        <w:rFonts w:ascii="Verdana" w:eastAsia="Verdana" w:hAnsi="Verdana" w:cs="Verdana"/>
        <w:b/>
      </w:rPr>
      <w:t xml:space="preserve">www.swamyassociates.com </w:t>
    </w:r>
  </w:p>
  <w:p w:rsidR="002571F9" w:rsidRDefault="00F24317">
    <w:pPr>
      <w:spacing w:after="53" w:line="259" w:lineRule="auto"/>
      <w:ind w:left="0" w:right="4" w:firstLine="0"/>
      <w:jc w:val="center"/>
    </w:pPr>
    <w:r>
      <w:rPr>
        <w:rFonts w:ascii="Verdana" w:eastAsia="Verdana" w:hAnsi="Verdana" w:cs="Verdana"/>
        <w:sz w:val="22"/>
      </w:rPr>
      <w:t>chennai | coimbatore | bengaluru | hyderabad | pune | new delhi</w:t>
    </w:r>
  </w:p>
  <w:p w:rsidR="002571F9" w:rsidRDefault="00F24317">
    <w:pPr>
      <w:spacing w:after="0" w:line="259" w:lineRule="auto"/>
      <w:ind w:left="0" w:firstLine="0"/>
      <w:jc w:val="center"/>
    </w:pPr>
    <w:r>
      <w:rPr>
        <w:rFonts w:ascii="Verdana" w:eastAsia="Verdana" w:hAnsi="Verdana" w:cs="Verdana"/>
        <w:sz w:val="16"/>
      </w:rPr>
      <w:t xml:space="preserve">Chennai: 18, Rams Flats, Ashoka Avenue, Director’s Colony, Kodambakkam, Chennai - 600024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1F9" w:rsidRDefault="00137E3C">
    <w:pPr>
      <w:spacing w:after="42" w:line="259" w:lineRule="auto"/>
      <w:ind w:left="58" w:right="0" w:firstLine="0"/>
      <w:jc w:val="center"/>
    </w:pPr>
  </w:p>
  <w:p w:rsidR="002571F9" w:rsidRDefault="00F24317">
    <w:pPr>
      <w:spacing w:after="0" w:line="259" w:lineRule="auto"/>
      <w:ind w:left="0" w:right="7" w:firstLine="0"/>
      <w:jc w:val="center"/>
    </w:pPr>
    <w:r>
      <w:rPr>
        <w:rFonts w:ascii="Verdana" w:eastAsia="Verdana" w:hAnsi="Verdana" w:cs="Verdana"/>
        <w:b/>
      </w:rPr>
      <w:t xml:space="preserve">www.swamyassociates.com </w:t>
    </w:r>
  </w:p>
  <w:p w:rsidR="002571F9" w:rsidRDefault="00F24317">
    <w:pPr>
      <w:spacing w:after="53" w:line="259" w:lineRule="auto"/>
      <w:ind w:left="0" w:right="4" w:firstLine="0"/>
      <w:jc w:val="center"/>
    </w:pPr>
    <w:r>
      <w:rPr>
        <w:rFonts w:ascii="Verdana" w:eastAsia="Verdana" w:hAnsi="Verdana" w:cs="Verdana"/>
        <w:sz w:val="22"/>
      </w:rPr>
      <w:t>chennai | coimbatore | bengaluru | hyderabad | pune | new delhi</w:t>
    </w:r>
  </w:p>
  <w:p w:rsidR="002571F9" w:rsidRDefault="00F24317">
    <w:pPr>
      <w:spacing w:after="0" w:line="259" w:lineRule="auto"/>
      <w:ind w:left="0" w:firstLine="0"/>
      <w:jc w:val="center"/>
    </w:pPr>
    <w:r>
      <w:rPr>
        <w:rFonts w:ascii="Verdana" w:eastAsia="Verdana" w:hAnsi="Verdana" w:cs="Verdana"/>
        <w:sz w:val="16"/>
      </w:rPr>
      <w:t xml:space="preserve">Chennai: 18, Rams Flats, Ashoka Avenue, Director’s Colony, Kodambakkam, Chennai - 600024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1F9" w:rsidRDefault="00137E3C">
    <w:pPr>
      <w:spacing w:after="42" w:line="259" w:lineRule="auto"/>
      <w:ind w:left="58" w:right="0" w:firstLine="0"/>
      <w:jc w:val="center"/>
    </w:pPr>
  </w:p>
  <w:p w:rsidR="002571F9" w:rsidRDefault="00F24317">
    <w:pPr>
      <w:spacing w:after="0" w:line="259" w:lineRule="auto"/>
      <w:ind w:left="0" w:right="7" w:firstLine="0"/>
      <w:jc w:val="center"/>
    </w:pPr>
    <w:r>
      <w:rPr>
        <w:rFonts w:ascii="Verdana" w:eastAsia="Verdana" w:hAnsi="Verdana" w:cs="Verdana"/>
        <w:b/>
      </w:rPr>
      <w:t xml:space="preserve">www.swamyassociates.com </w:t>
    </w:r>
  </w:p>
  <w:p w:rsidR="002571F9" w:rsidRDefault="00F24317">
    <w:pPr>
      <w:spacing w:after="53" w:line="259" w:lineRule="auto"/>
      <w:ind w:left="0" w:right="4" w:firstLine="0"/>
      <w:jc w:val="center"/>
    </w:pPr>
    <w:r>
      <w:rPr>
        <w:rFonts w:ascii="Verdana" w:eastAsia="Verdana" w:hAnsi="Verdana" w:cs="Verdana"/>
        <w:sz w:val="22"/>
      </w:rPr>
      <w:t>chennai | coimbatore | bengaluru | hyderabad | pune | new delhi</w:t>
    </w:r>
  </w:p>
  <w:p w:rsidR="002571F9" w:rsidRDefault="00F24317">
    <w:pPr>
      <w:spacing w:after="0" w:line="259" w:lineRule="auto"/>
      <w:ind w:left="0" w:firstLine="0"/>
      <w:jc w:val="center"/>
    </w:pPr>
    <w:r>
      <w:rPr>
        <w:rFonts w:ascii="Verdana" w:eastAsia="Verdana" w:hAnsi="Verdana" w:cs="Verdana"/>
        <w:sz w:val="16"/>
      </w:rPr>
      <w:t xml:space="preserve">Chennai: 18, Rams Flats, Ashoka Avenue, Director’s Colony, Kodambakkam, Chennai - 600024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E3C" w:rsidRDefault="00137E3C" w:rsidP="003827E8">
      <w:pPr>
        <w:spacing w:after="0" w:line="240" w:lineRule="auto"/>
      </w:pPr>
      <w:r>
        <w:separator/>
      </w:r>
    </w:p>
  </w:footnote>
  <w:footnote w:type="continuationSeparator" w:id="1">
    <w:p w:rsidR="00137E3C" w:rsidRDefault="00137E3C" w:rsidP="003827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1F9" w:rsidRDefault="00F24317">
    <w:pPr>
      <w:spacing w:after="0" w:line="259" w:lineRule="auto"/>
      <w:ind w:left="0" w:right="-190" w:firstLine="0"/>
      <w:jc w:val="left"/>
    </w:pPr>
    <w:r>
      <w:rPr>
        <w:noProof/>
        <w:lang w:val="en-US" w:eastAsia="en-US"/>
      </w:rPr>
      <w:drawing>
        <wp:anchor distT="0" distB="0" distL="114300" distR="114300" simplePos="0" relativeHeight="251659264" behindDoc="0" locked="0" layoutInCell="1" allowOverlap="0">
          <wp:simplePos x="0" y="0"/>
          <wp:positionH relativeFrom="page">
            <wp:posOffset>4682490</wp:posOffset>
          </wp:positionH>
          <wp:positionV relativeFrom="page">
            <wp:posOffset>461645</wp:posOffset>
          </wp:positionV>
          <wp:extent cx="2097786" cy="96774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097786" cy="967740"/>
                  </a:xfrm>
                  <a:prstGeom prst="rect">
                    <a:avLst/>
                  </a:prstGeom>
                </pic:spPr>
              </pic:pic>
            </a:graphicData>
          </a:graphic>
        </wp:anchor>
      </w:drawing>
    </w:r>
    <w:r>
      <w:rPr>
        <w:rFonts w:ascii="Calibri" w:eastAsia="Calibri" w:hAnsi="Calibri" w:cs="Calibri"/>
        <w:sz w:val="28"/>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3AD" w:rsidRDefault="00B403AD" w:rsidP="00B403AD">
    <w:pPr>
      <w:spacing w:after="0" w:line="259" w:lineRule="auto"/>
      <w:ind w:left="-720" w:right="-190" w:firstLine="0"/>
      <w:jc w:val="left"/>
      <w:rPr>
        <w:rFonts w:ascii="Verdana" w:eastAsia="Calibri" w:hAnsi="Verdana" w:cs="Calibri"/>
        <w:b/>
        <w:color w:val="auto"/>
        <w:sz w:val="40"/>
      </w:rPr>
    </w:pPr>
  </w:p>
  <w:p w:rsidR="002571F9" w:rsidRPr="00B403AD" w:rsidRDefault="00F24317" w:rsidP="00B403AD">
    <w:pPr>
      <w:spacing w:after="0" w:line="259" w:lineRule="auto"/>
      <w:ind w:left="-720" w:right="-190" w:firstLine="0"/>
      <w:jc w:val="left"/>
      <w:rPr>
        <w:rFonts w:ascii="Verdana" w:hAnsi="Verdana"/>
        <w:b/>
        <w:color w:val="auto"/>
        <w:sz w:val="56"/>
      </w:rPr>
    </w:pPr>
    <w:r w:rsidRPr="00B403AD">
      <w:rPr>
        <w:rFonts w:ascii="Verdana" w:hAnsi="Verdana"/>
        <w:b/>
        <w:noProof/>
        <w:color w:val="auto"/>
        <w:sz w:val="44"/>
        <w:lang w:val="en-US" w:eastAsia="en-US"/>
      </w:rPr>
      <w:drawing>
        <wp:anchor distT="0" distB="0" distL="114300" distR="114300" simplePos="0" relativeHeight="251660288" behindDoc="0" locked="0" layoutInCell="1" allowOverlap="0">
          <wp:simplePos x="0" y="0"/>
          <wp:positionH relativeFrom="page">
            <wp:posOffset>4682490</wp:posOffset>
          </wp:positionH>
          <wp:positionV relativeFrom="page">
            <wp:posOffset>461645</wp:posOffset>
          </wp:positionV>
          <wp:extent cx="2097786" cy="96774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097786" cy="967740"/>
                  </a:xfrm>
                  <a:prstGeom prst="rect">
                    <a:avLst/>
                  </a:prstGeom>
                </pic:spPr>
              </pic:pic>
            </a:graphicData>
          </a:graphic>
        </wp:anchor>
      </w:drawing>
    </w:r>
    <w:r w:rsidR="00623916" w:rsidRPr="00B403AD">
      <w:rPr>
        <w:rFonts w:ascii="Verdana" w:eastAsia="Calibri" w:hAnsi="Verdana" w:cs="Calibri"/>
        <w:b/>
        <w:color w:val="auto"/>
        <w:sz w:val="48"/>
      </w:rPr>
      <w:t>GST NOTE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1F9" w:rsidRDefault="00F24317">
    <w:pPr>
      <w:spacing w:after="0" w:line="259" w:lineRule="auto"/>
      <w:ind w:left="0" w:right="-190" w:firstLine="0"/>
      <w:jc w:val="left"/>
    </w:pPr>
    <w:r>
      <w:rPr>
        <w:noProof/>
        <w:lang w:val="en-US" w:eastAsia="en-US"/>
      </w:rPr>
      <w:drawing>
        <wp:anchor distT="0" distB="0" distL="114300" distR="114300" simplePos="0" relativeHeight="251661312" behindDoc="0" locked="0" layoutInCell="1" allowOverlap="0">
          <wp:simplePos x="0" y="0"/>
          <wp:positionH relativeFrom="page">
            <wp:posOffset>4682490</wp:posOffset>
          </wp:positionH>
          <wp:positionV relativeFrom="page">
            <wp:posOffset>461645</wp:posOffset>
          </wp:positionV>
          <wp:extent cx="2097786" cy="96774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097786" cy="967740"/>
                  </a:xfrm>
                  <a:prstGeom prst="rect">
                    <a:avLst/>
                  </a:prstGeom>
                </pic:spPr>
              </pic:pic>
            </a:graphicData>
          </a:graphic>
        </wp:anchor>
      </w:drawing>
    </w:r>
    <w:r>
      <w:rPr>
        <w:rFonts w:ascii="Calibri" w:eastAsia="Calibri" w:hAnsi="Calibri" w:cs="Calibri"/>
        <w:sz w:val="2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E7AFC"/>
    <w:multiLevelType w:val="hybridMultilevel"/>
    <w:tmpl w:val="789EA6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99146A"/>
    <w:rsid w:val="000834B5"/>
    <w:rsid w:val="00137E3C"/>
    <w:rsid w:val="001D12DD"/>
    <w:rsid w:val="003755FF"/>
    <w:rsid w:val="003827E8"/>
    <w:rsid w:val="003E6BB0"/>
    <w:rsid w:val="00451D9E"/>
    <w:rsid w:val="00467584"/>
    <w:rsid w:val="00623916"/>
    <w:rsid w:val="006B4054"/>
    <w:rsid w:val="007E344E"/>
    <w:rsid w:val="008E2982"/>
    <w:rsid w:val="00977945"/>
    <w:rsid w:val="0099146A"/>
    <w:rsid w:val="009946ED"/>
    <w:rsid w:val="00A3463C"/>
    <w:rsid w:val="00A848D4"/>
    <w:rsid w:val="00B403AD"/>
    <w:rsid w:val="00CB7071"/>
    <w:rsid w:val="00E505E0"/>
    <w:rsid w:val="00ED4E8B"/>
    <w:rsid w:val="00F243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b6df89,#abdb77,#b2de8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46A"/>
    <w:pPr>
      <w:spacing w:after="1" w:line="249" w:lineRule="auto"/>
      <w:ind w:left="10" w:right="2" w:hanging="10"/>
      <w:jc w:val="both"/>
    </w:pPr>
    <w:rPr>
      <w:rFonts w:ascii="Bookman Old Style" w:eastAsia="Bookman Old Style" w:hAnsi="Bookman Old Style" w:cs="Bookman Old Style"/>
      <w:color w:val="000000"/>
      <w:sz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46A"/>
    <w:pPr>
      <w:ind w:left="720"/>
      <w:contextualSpacing/>
    </w:pPr>
  </w:style>
  <w:style w:type="table" w:styleId="TableGrid">
    <w:name w:val="Table Grid"/>
    <w:basedOn w:val="TableNormal"/>
    <w:uiPriority w:val="59"/>
    <w:rsid w:val="0099146A"/>
    <w:pPr>
      <w:spacing w:after="0" w:line="240" w:lineRule="auto"/>
    </w:pPr>
    <w:rPr>
      <w:rFonts w:eastAsiaTheme="minorEastAsia"/>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46A"/>
    <w:pPr>
      <w:spacing w:after="1" w:line="249" w:lineRule="auto"/>
      <w:ind w:left="10" w:right="2" w:hanging="10"/>
      <w:jc w:val="both"/>
    </w:pPr>
    <w:rPr>
      <w:rFonts w:ascii="Bookman Old Style" w:eastAsia="Bookman Old Style" w:hAnsi="Bookman Old Style" w:cs="Bookman Old Style"/>
      <w:color w:val="000000"/>
      <w:sz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46A"/>
    <w:pPr>
      <w:ind w:left="720"/>
      <w:contextualSpacing/>
    </w:pPr>
  </w:style>
  <w:style w:type="table" w:styleId="TableGrid">
    <w:name w:val="Table Grid"/>
    <w:basedOn w:val="TableNormal"/>
    <w:uiPriority w:val="59"/>
    <w:rsid w:val="0099146A"/>
    <w:pPr>
      <w:spacing w:after="0" w:line="240" w:lineRule="auto"/>
    </w:pPr>
    <w:rPr>
      <w:rFonts w:eastAsiaTheme="minorEastAsia"/>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7</cp:revision>
  <dcterms:created xsi:type="dcterms:W3CDTF">2019-10-19T04:42:00Z</dcterms:created>
  <dcterms:modified xsi:type="dcterms:W3CDTF">2019-10-19T11:05:00Z</dcterms:modified>
</cp:coreProperties>
</file>